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60" w:lineRule="exact"/>
        <w:rPr>
          <w:rFonts w:ascii="宋体" w:cs="Times New Roman"/>
          <w:b/>
          <w:bCs/>
          <w:sz w:val="44"/>
          <w:szCs w:val="44"/>
        </w:rPr>
      </w:pPr>
    </w:p>
    <w:p>
      <w:pPr>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安徽省社会科学界第十七届（</w:t>
      </w:r>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w:t>
      </w:r>
    </w:p>
    <w:p>
      <w:pPr>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学术年会实施方案</w:t>
      </w:r>
    </w:p>
    <w:p>
      <w:pPr>
        <w:spacing w:line="560" w:lineRule="exact"/>
        <w:rPr>
          <w:rFonts w:ascii="??_GB2312" w:hAnsi="仿宋" w:eastAsia="Times New Roman" w:cs="Times New Roman"/>
          <w:sz w:val="32"/>
          <w:szCs w:val="32"/>
        </w:rPr>
      </w:pPr>
    </w:p>
    <w:p>
      <w:pPr>
        <w:autoSpaceDE w:val="0"/>
        <w:spacing w:line="560" w:lineRule="exact"/>
        <w:ind w:firstLine="640" w:firstLineChars="200"/>
        <w:rPr>
          <w:rFonts w:ascii="黑体" w:hAnsi="黑体" w:eastAsia="黑体" w:cs="Times New Roman"/>
          <w:color w:val="FF0000"/>
          <w:sz w:val="32"/>
          <w:szCs w:val="32"/>
        </w:rPr>
      </w:pPr>
      <w:r>
        <w:rPr>
          <w:rFonts w:ascii="仿宋" w:hAnsi="仿宋" w:eastAsia="仿宋" w:cs="仿宋"/>
          <w:sz w:val="32"/>
          <w:szCs w:val="32"/>
        </w:rPr>
        <w:t>2022</w:t>
      </w:r>
      <w:r>
        <w:rPr>
          <w:rFonts w:hint="eastAsia" w:ascii="仿宋" w:hAnsi="仿宋" w:eastAsia="仿宋" w:cs="仿宋"/>
          <w:sz w:val="32"/>
          <w:szCs w:val="32"/>
        </w:rPr>
        <w:t>年是党和国家事业发展进程中十分重要的一年，是党的二十大召开之年。习近平总书记在中国人民大学考察时强调，加快构建中国特色哲学社会科学，归根结底是建构中国自主的知识体系。全省社科工作者要认真贯彻落实习近平总书记关于哲学社会科学工作的重要论述和考察安徽重要讲话指示精神，自觉以回答中国之问、世界之问、人民之问、时代之问为学术己任，以彰显中国之路、中国之治、中国之理为思想追求，努力做到方向明、主义真、学问高、德行正，努力推出彰显中国特色、反映时代特征、体现安徽特点的优秀成果，努力为党的二十大胜利召开营造良好的思想理论氛围。为此提出如下方案：</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一、指导思想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坚持以习近平新时代中国特色社会主义思想为指导，弘扬伟大建党精神，紧紧围绕迎接、宣传、贯彻党的二十大这条主线，全面贯彻落实党的十九大和十九届历次全会精神，认真贯彻落实省第十一次党代会精神，坚持正确的政治方向、价值取向和学术导向，坚持以新时代重大理论和现实问题为主攻方向，坚持对标对表，不断拉高标杆，推动哲学社会科学为党和政府的决策服务，努力构建具有中国特色、安徽特点的哲学社会科学，为加快建设现代化美好安徽提供坚强思想保证和强大精神力量。</w:t>
      </w:r>
      <w:r>
        <w:rPr>
          <w:rFonts w:ascii="仿宋" w:hAnsi="仿宋" w:eastAsia="仿宋" w:cs="仿宋"/>
          <w:sz w:val="32"/>
          <w:szCs w:val="32"/>
        </w:rPr>
        <w:t xml:space="preserve">  </w:t>
      </w:r>
    </w:p>
    <w:p>
      <w:pPr>
        <w:spacing w:line="560" w:lineRule="exact"/>
        <w:ind w:firstLine="640" w:firstLineChars="200"/>
        <w:rPr>
          <w:rFonts w:ascii="华文楷体" w:hAnsi="华文楷体" w:eastAsia="华文楷体" w:cs="Times New Roman"/>
          <w:sz w:val="32"/>
          <w:szCs w:val="32"/>
        </w:rPr>
      </w:pPr>
      <w:r>
        <w:rPr>
          <w:rFonts w:hint="eastAsia" w:ascii="黑体" w:hAnsi="黑体" w:eastAsia="黑体" w:cs="黑体"/>
          <w:sz w:val="32"/>
          <w:szCs w:val="32"/>
        </w:rPr>
        <w:t>二、年会主题</w:t>
      </w:r>
      <w:r>
        <w:rPr>
          <w:rFonts w:ascii="黑体" w:hAnsi="黑体" w:eastAsia="黑体" w:cs="黑体"/>
          <w:sz w:val="32"/>
          <w:szCs w:val="32"/>
        </w:rPr>
        <w:t xml:space="preserve">                 </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年会的主题是</w:t>
      </w:r>
      <w:r>
        <w:rPr>
          <w:rFonts w:hint="eastAsia" w:ascii="仿宋" w:hAnsi="仿宋" w:eastAsia="仿宋" w:cs="仿宋"/>
          <w:b/>
          <w:bCs/>
          <w:sz w:val="32"/>
          <w:szCs w:val="32"/>
        </w:rPr>
        <w:t>“奋进新征程</w:t>
      </w:r>
      <w:r>
        <w:rPr>
          <w:rFonts w:ascii="仿宋" w:hAnsi="仿宋" w:eastAsia="仿宋" w:cs="仿宋"/>
          <w:b/>
          <w:bCs/>
          <w:sz w:val="32"/>
          <w:szCs w:val="32"/>
        </w:rPr>
        <w:t xml:space="preserve"> </w:t>
      </w:r>
      <w:r>
        <w:rPr>
          <w:rFonts w:hint="eastAsia" w:ascii="仿宋" w:hAnsi="仿宋" w:eastAsia="仿宋" w:cs="仿宋"/>
          <w:b/>
          <w:bCs/>
          <w:sz w:val="32"/>
          <w:szCs w:val="32"/>
        </w:rPr>
        <w:t>谱写新篇章”</w:t>
      </w:r>
      <w:r>
        <w:rPr>
          <w:rFonts w:hint="eastAsia" w:ascii="仿宋" w:hAnsi="仿宋" w:eastAsia="仿宋" w:cs="仿宋"/>
          <w:sz w:val="32"/>
          <w:szCs w:val="32"/>
        </w:rPr>
        <w:t>，旨在深入学习研究、阐释宣传习近平新时代中国特色社会主义思想，立足安徽实际，聚焦新发展阶段安徽经济社会发展所面临的重大理论与实践问题，从理论和实践、历史和现实的结合上进行深入研究阐释，用安徽实践阐释习近平新时代中国特色社会主义思想的历史逻辑、理论逻辑、实践逻辑，深刻诠释蕴含其中的道理、学理、哲理，推出更多具有理论深度、创新价值、实践意义的研究成果，提出战略性、前瞻性、操作性强的对策建议服务科学决策，为新阶段现代化美好安徽建设献计出力。</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三、年会专场与选题指南</w:t>
      </w:r>
    </w:p>
    <w:p>
      <w:pPr>
        <w:autoSpaceDE w:val="0"/>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学术年会设三个专场和青年学术论坛。年会大会拟于</w:t>
      </w:r>
      <w:r>
        <w:rPr>
          <w:rFonts w:ascii="仿宋" w:hAnsi="仿宋" w:eastAsia="仿宋" w:cs="仿宋"/>
          <w:sz w:val="32"/>
          <w:szCs w:val="32"/>
        </w:rPr>
        <w:t>12</w:t>
      </w:r>
      <w:r>
        <w:rPr>
          <w:rFonts w:hint="eastAsia" w:ascii="仿宋" w:hAnsi="仿宋" w:eastAsia="仿宋" w:cs="仿宋"/>
          <w:sz w:val="32"/>
          <w:szCs w:val="32"/>
        </w:rPr>
        <w:t>月中旬在合肥举行，由省社科联主办；三个专场分别由中共安徽省委党校、安徽财经大学社科联和黄山学院社科联承办，拟于</w:t>
      </w:r>
      <w:r>
        <w:rPr>
          <w:rFonts w:ascii="仿宋" w:hAnsi="仿宋" w:eastAsia="仿宋" w:cs="仿宋"/>
          <w:sz w:val="32"/>
          <w:szCs w:val="32"/>
        </w:rPr>
        <w:t>11</w:t>
      </w:r>
      <w:r>
        <w:rPr>
          <w:rFonts w:hint="eastAsia" w:ascii="仿宋" w:hAnsi="仿宋" w:eastAsia="仿宋" w:cs="仿宋"/>
          <w:sz w:val="32"/>
          <w:szCs w:val="32"/>
        </w:rPr>
        <w:t>月在承办单位举办；青年学术论坛拟于</w:t>
      </w:r>
      <w:r>
        <w:rPr>
          <w:rFonts w:ascii="仿宋" w:hAnsi="仿宋" w:eastAsia="仿宋" w:cs="仿宋"/>
          <w:sz w:val="32"/>
          <w:szCs w:val="32"/>
        </w:rPr>
        <w:t>12</w:t>
      </w:r>
      <w:r>
        <w:rPr>
          <w:rFonts w:hint="eastAsia" w:ascii="仿宋" w:hAnsi="仿宋" w:eastAsia="仿宋" w:cs="仿宋"/>
          <w:sz w:val="32"/>
          <w:szCs w:val="32"/>
        </w:rPr>
        <w:t>月中旬在合肥举行，由合肥工业大学社科联承办。年会专场选题指南供参考。</w:t>
      </w:r>
    </w:p>
    <w:p>
      <w:pPr>
        <w:numPr>
          <w:ilvl w:val="0"/>
          <w:numId w:val="1"/>
        </w:numPr>
        <w:spacing w:line="560" w:lineRule="exact"/>
        <w:ind w:firstLine="640"/>
        <w:rPr>
          <w:rFonts w:ascii="楷体" w:hAnsi="楷体" w:eastAsia="楷体" w:cs="Times New Roman"/>
          <w:sz w:val="32"/>
          <w:szCs w:val="32"/>
        </w:rPr>
      </w:pPr>
      <w:r>
        <w:rPr>
          <w:rFonts w:hint="eastAsia" w:ascii="楷体" w:hAnsi="楷体" w:eastAsia="楷体" w:cs="楷体"/>
          <w:sz w:val="32"/>
          <w:szCs w:val="32"/>
        </w:rPr>
        <w:t>推进马克思主义中国化时代化专场</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1.</w:t>
      </w:r>
      <w:r>
        <w:rPr>
          <w:rFonts w:hint="eastAsia" w:ascii="仿宋" w:hAnsi="仿宋" w:eastAsia="仿宋" w:cs="仿宋"/>
          <w:w w:val="95"/>
          <w:sz w:val="32"/>
          <w:szCs w:val="32"/>
        </w:rPr>
        <w:t>关于习近平新时代中国特色社会主义思想实现了马克思主义中国化新的飞跃的重大意义、深刻内涵和实践要求研究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2.</w:t>
      </w:r>
      <w:r>
        <w:rPr>
          <w:rFonts w:hint="eastAsia" w:ascii="仿宋" w:hAnsi="仿宋" w:eastAsia="仿宋" w:cs="仿宋"/>
          <w:w w:val="95"/>
          <w:sz w:val="32"/>
          <w:szCs w:val="32"/>
        </w:rPr>
        <w:t>习近平新时代中国特色社会主义思想在安徽的生动实践研究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3.</w:t>
      </w:r>
      <w:r>
        <w:rPr>
          <w:rFonts w:hint="eastAsia" w:ascii="仿宋" w:hAnsi="仿宋" w:eastAsia="仿宋" w:cs="仿宋"/>
          <w:w w:val="95"/>
          <w:sz w:val="32"/>
          <w:szCs w:val="32"/>
        </w:rPr>
        <w:t>关于</w:t>
      </w:r>
      <w:r>
        <w:rPr>
          <w:rFonts w:ascii="仿宋" w:hAnsi="仿宋" w:eastAsia="仿宋" w:cs="Times New Roman"/>
          <w:w w:val="95"/>
          <w:sz w:val="32"/>
          <w:szCs w:val="32"/>
        </w:rPr>
        <w:t>“</w:t>
      </w:r>
      <w:r>
        <w:rPr>
          <w:rFonts w:hint="eastAsia" w:ascii="仿宋" w:hAnsi="仿宋" w:eastAsia="仿宋" w:cs="仿宋"/>
          <w:w w:val="95"/>
          <w:sz w:val="32"/>
          <w:szCs w:val="32"/>
        </w:rPr>
        <w:t>两个确立</w:t>
      </w:r>
      <w:r>
        <w:rPr>
          <w:rFonts w:ascii="仿宋" w:hAnsi="仿宋" w:eastAsia="仿宋" w:cs="Times New Roman"/>
          <w:w w:val="95"/>
          <w:sz w:val="32"/>
          <w:szCs w:val="32"/>
        </w:rPr>
        <w:t>”</w:t>
      </w:r>
      <w:r>
        <w:rPr>
          <w:rFonts w:hint="eastAsia" w:ascii="仿宋" w:hAnsi="仿宋" w:eastAsia="仿宋" w:cs="仿宋"/>
          <w:w w:val="95"/>
          <w:sz w:val="32"/>
          <w:szCs w:val="32"/>
        </w:rPr>
        <w:t>对新时代党和国家事业发展、对推进中华民族伟大复兴历史进程的决定性意义研究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4.</w:t>
      </w:r>
      <w:r>
        <w:rPr>
          <w:rFonts w:hint="eastAsia" w:ascii="仿宋" w:hAnsi="仿宋" w:eastAsia="仿宋" w:cs="仿宋"/>
          <w:w w:val="95"/>
          <w:sz w:val="32"/>
          <w:szCs w:val="32"/>
        </w:rPr>
        <w:t>关于党领导人民进行革命、建设、改革的百年历程和伟大历史功绩研究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5.</w:t>
      </w:r>
      <w:r>
        <w:rPr>
          <w:rFonts w:hint="eastAsia" w:ascii="仿宋" w:hAnsi="仿宋" w:eastAsia="仿宋" w:cs="仿宋"/>
          <w:w w:val="95"/>
          <w:sz w:val="32"/>
          <w:szCs w:val="32"/>
        </w:rPr>
        <w:t>关于坚持把马克思主义基本原理同中国具体实际相结合、同中华优秀传统文化相结合，不断推进马克思主义中国化的百年历程研究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6.</w:t>
      </w:r>
      <w:r>
        <w:rPr>
          <w:rFonts w:hint="eastAsia" w:ascii="仿宋" w:hAnsi="仿宋" w:eastAsia="仿宋" w:cs="仿宋"/>
          <w:w w:val="95"/>
          <w:sz w:val="32"/>
          <w:szCs w:val="32"/>
        </w:rPr>
        <w:t>关于党的三个历史决议的重大历史作用研究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7.</w:t>
      </w:r>
      <w:r>
        <w:rPr>
          <w:rFonts w:hint="eastAsia" w:ascii="仿宋" w:hAnsi="仿宋" w:eastAsia="仿宋" w:cs="仿宋"/>
          <w:w w:val="95"/>
          <w:sz w:val="32"/>
          <w:szCs w:val="32"/>
        </w:rPr>
        <w:t>关于中国特色社会主义新时代党和国家事业取得的历史性成就、发生的历史性变革研究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8.</w:t>
      </w:r>
      <w:r>
        <w:rPr>
          <w:rFonts w:hint="eastAsia" w:ascii="仿宋" w:hAnsi="仿宋" w:eastAsia="仿宋" w:cs="仿宋"/>
          <w:w w:val="95"/>
          <w:sz w:val="32"/>
          <w:szCs w:val="32"/>
        </w:rPr>
        <w:t>习近平强军思想研究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9.</w:t>
      </w:r>
      <w:r>
        <w:rPr>
          <w:rFonts w:hint="eastAsia" w:ascii="仿宋" w:hAnsi="仿宋" w:eastAsia="仿宋" w:cs="仿宋"/>
          <w:w w:val="95"/>
          <w:sz w:val="32"/>
          <w:szCs w:val="32"/>
        </w:rPr>
        <w:t>习近平外交思想研究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10.</w:t>
      </w:r>
      <w:r>
        <w:rPr>
          <w:rFonts w:hint="eastAsia" w:ascii="仿宋" w:hAnsi="仿宋" w:eastAsia="仿宋" w:cs="仿宋"/>
          <w:w w:val="95"/>
          <w:sz w:val="32"/>
          <w:szCs w:val="32"/>
        </w:rPr>
        <w:t>习近平法治思想研究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11.</w:t>
      </w:r>
      <w:r>
        <w:rPr>
          <w:rFonts w:hint="eastAsia" w:ascii="仿宋" w:hAnsi="仿宋" w:eastAsia="仿宋" w:cs="仿宋"/>
          <w:w w:val="95"/>
          <w:sz w:val="32"/>
          <w:szCs w:val="32"/>
        </w:rPr>
        <w:t>习近平总书记关于</w:t>
      </w:r>
      <w:r>
        <w:rPr>
          <w:rFonts w:ascii="仿宋" w:hAnsi="仿宋" w:eastAsia="仿宋" w:cs="Times New Roman"/>
          <w:w w:val="95"/>
          <w:sz w:val="32"/>
          <w:szCs w:val="32"/>
        </w:rPr>
        <w:t>“</w:t>
      </w:r>
      <w:r>
        <w:rPr>
          <w:rFonts w:hint="eastAsia" w:ascii="仿宋" w:hAnsi="仿宋" w:eastAsia="仿宋" w:cs="仿宋"/>
          <w:w w:val="95"/>
          <w:sz w:val="32"/>
          <w:szCs w:val="32"/>
        </w:rPr>
        <w:t>五个必由之路</w:t>
      </w:r>
      <w:r>
        <w:rPr>
          <w:rFonts w:ascii="仿宋" w:hAnsi="仿宋" w:eastAsia="仿宋" w:cs="Times New Roman"/>
          <w:w w:val="95"/>
          <w:sz w:val="32"/>
          <w:szCs w:val="32"/>
        </w:rPr>
        <w:t>”</w:t>
      </w:r>
      <w:r>
        <w:rPr>
          <w:rFonts w:hint="eastAsia" w:ascii="仿宋" w:hAnsi="仿宋" w:eastAsia="仿宋" w:cs="仿宋"/>
          <w:w w:val="95"/>
          <w:sz w:val="32"/>
          <w:szCs w:val="32"/>
        </w:rPr>
        <w:t>的重要论述研究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12.</w:t>
      </w:r>
      <w:r>
        <w:rPr>
          <w:rFonts w:hint="eastAsia" w:ascii="仿宋" w:hAnsi="仿宋" w:eastAsia="仿宋" w:cs="仿宋"/>
          <w:w w:val="95"/>
          <w:sz w:val="32"/>
          <w:szCs w:val="32"/>
        </w:rPr>
        <w:t>习近平总书记关于推进国家治理体系和治理能力现代化重要论述研究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13.</w:t>
      </w:r>
      <w:r>
        <w:rPr>
          <w:rFonts w:hint="eastAsia" w:ascii="仿宋" w:hAnsi="仿宋" w:eastAsia="仿宋" w:cs="仿宋"/>
          <w:w w:val="95"/>
          <w:sz w:val="32"/>
          <w:szCs w:val="32"/>
        </w:rPr>
        <w:t>习近平总书记关于依规治党重要论述研究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14.</w:t>
      </w:r>
      <w:r>
        <w:rPr>
          <w:rFonts w:hint="eastAsia" w:ascii="仿宋" w:hAnsi="仿宋" w:eastAsia="仿宋" w:cs="仿宋"/>
          <w:w w:val="95"/>
          <w:sz w:val="32"/>
          <w:szCs w:val="32"/>
        </w:rPr>
        <w:t>提高一体推进</w:t>
      </w:r>
      <w:r>
        <w:rPr>
          <w:rFonts w:ascii="仿宋" w:hAnsi="仿宋" w:eastAsia="仿宋" w:cs="Times New Roman"/>
          <w:w w:val="95"/>
          <w:sz w:val="32"/>
          <w:szCs w:val="32"/>
        </w:rPr>
        <w:t>“</w:t>
      </w:r>
      <w:r>
        <w:rPr>
          <w:rFonts w:hint="eastAsia" w:ascii="仿宋" w:hAnsi="仿宋" w:eastAsia="仿宋" w:cs="仿宋"/>
          <w:w w:val="95"/>
          <w:sz w:val="32"/>
          <w:szCs w:val="32"/>
        </w:rPr>
        <w:t>三不腐</w:t>
      </w:r>
      <w:r>
        <w:rPr>
          <w:rFonts w:ascii="仿宋" w:hAnsi="仿宋" w:eastAsia="仿宋" w:cs="Times New Roman"/>
          <w:w w:val="95"/>
          <w:sz w:val="32"/>
          <w:szCs w:val="32"/>
        </w:rPr>
        <w:t>”</w:t>
      </w:r>
      <w:r>
        <w:rPr>
          <w:rFonts w:hint="eastAsia" w:ascii="仿宋" w:hAnsi="仿宋" w:eastAsia="仿宋" w:cs="仿宋"/>
          <w:w w:val="95"/>
          <w:sz w:val="32"/>
          <w:szCs w:val="32"/>
        </w:rPr>
        <w:t>能力和水平</w:t>
      </w:r>
      <w:r>
        <w:rPr>
          <w:rFonts w:ascii="仿宋" w:hAnsi="仿宋" w:eastAsia="仿宋" w:cs="仿宋"/>
          <w:w w:val="95"/>
          <w:sz w:val="32"/>
          <w:szCs w:val="32"/>
        </w:rPr>
        <w:t xml:space="preserve"> </w:t>
      </w:r>
      <w:r>
        <w:rPr>
          <w:rFonts w:hint="eastAsia" w:ascii="仿宋" w:hAnsi="仿宋" w:eastAsia="仿宋" w:cs="仿宋"/>
          <w:w w:val="95"/>
          <w:sz w:val="32"/>
          <w:szCs w:val="32"/>
        </w:rPr>
        <w:t>全面打赢反腐败斗争攻坚战持久战研究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15.</w:t>
      </w:r>
      <w:r>
        <w:rPr>
          <w:rFonts w:hint="eastAsia" w:ascii="仿宋" w:hAnsi="仿宋" w:eastAsia="仿宋" w:cs="仿宋"/>
          <w:w w:val="95"/>
          <w:sz w:val="32"/>
          <w:szCs w:val="32"/>
        </w:rPr>
        <w:t>在哲学社会科学领域建构中国自主的知识体系研究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16.</w:t>
      </w:r>
      <w:r>
        <w:rPr>
          <w:rFonts w:hint="eastAsia" w:ascii="仿宋" w:hAnsi="仿宋" w:eastAsia="仿宋" w:cs="仿宋"/>
          <w:w w:val="95"/>
          <w:sz w:val="32"/>
          <w:szCs w:val="32"/>
        </w:rPr>
        <w:t>习近平总书记关于长三角高质量一体化发展的重要论述研究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17.</w:t>
      </w:r>
      <w:r>
        <w:rPr>
          <w:rFonts w:hint="eastAsia" w:ascii="仿宋" w:hAnsi="仿宋" w:eastAsia="仿宋" w:cs="仿宋"/>
          <w:w w:val="95"/>
          <w:sz w:val="32"/>
          <w:szCs w:val="32"/>
        </w:rPr>
        <w:t>关于中国式现代化新道路与安徽创新跨越发展研究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18.</w:t>
      </w:r>
      <w:r>
        <w:rPr>
          <w:rFonts w:hint="eastAsia" w:ascii="仿宋" w:hAnsi="仿宋" w:eastAsia="仿宋" w:cs="仿宋"/>
          <w:w w:val="95"/>
          <w:sz w:val="32"/>
          <w:szCs w:val="32"/>
        </w:rPr>
        <w:t>发展全过程人民民主的理论与安徽实践研究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19.</w:t>
      </w:r>
      <w:r>
        <w:rPr>
          <w:rFonts w:hint="eastAsia" w:ascii="仿宋" w:hAnsi="仿宋" w:eastAsia="仿宋" w:cs="仿宋"/>
          <w:w w:val="95"/>
          <w:sz w:val="32"/>
          <w:szCs w:val="32"/>
        </w:rPr>
        <w:t>安徽深入推进</w:t>
      </w:r>
      <w:r>
        <w:rPr>
          <w:rFonts w:ascii="仿宋" w:hAnsi="仿宋" w:eastAsia="仿宋" w:cs="Times New Roman"/>
          <w:w w:val="95"/>
          <w:sz w:val="32"/>
          <w:szCs w:val="32"/>
        </w:rPr>
        <w:t>“</w:t>
      </w:r>
      <w:r>
        <w:rPr>
          <w:rFonts w:hint="eastAsia" w:ascii="仿宋" w:hAnsi="仿宋" w:eastAsia="仿宋" w:cs="仿宋"/>
          <w:w w:val="95"/>
          <w:sz w:val="32"/>
          <w:szCs w:val="32"/>
        </w:rPr>
        <w:t>一改两为五做到</w:t>
      </w:r>
      <w:r>
        <w:rPr>
          <w:rFonts w:ascii="仿宋" w:hAnsi="仿宋" w:eastAsia="仿宋" w:cs="Times New Roman"/>
          <w:w w:val="95"/>
          <w:sz w:val="32"/>
          <w:szCs w:val="32"/>
        </w:rPr>
        <w:t>”</w:t>
      </w:r>
      <w:r>
        <w:rPr>
          <w:rFonts w:hint="eastAsia" w:ascii="仿宋" w:hAnsi="仿宋" w:eastAsia="仿宋" w:cs="仿宋"/>
          <w:w w:val="95"/>
          <w:sz w:val="32"/>
          <w:szCs w:val="32"/>
        </w:rPr>
        <w:t>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20.</w:t>
      </w:r>
      <w:r>
        <w:rPr>
          <w:rFonts w:hint="eastAsia" w:ascii="仿宋" w:hAnsi="仿宋" w:eastAsia="仿宋" w:cs="仿宋"/>
          <w:w w:val="95"/>
          <w:sz w:val="32"/>
          <w:szCs w:val="32"/>
        </w:rPr>
        <w:t>安徽</w:t>
      </w:r>
      <w:r>
        <w:rPr>
          <w:rFonts w:ascii="仿宋" w:hAnsi="仿宋" w:eastAsia="仿宋" w:cs="Times New Roman"/>
          <w:w w:val="95"/>
          <w:sz w:val="32"/>
          <w:szCs w:val="32"/>
        </w:rPr>
        <w:t>“</w:t>
      </w:r>
      <w:r>
        <w:rPr>
          <w:rFonts w:hint="eastAsia" w:ascii="仿宋" w:hAnsi="仿宋" w:eastAsia="仿宋" w:cs="仿宋"/>
          <w:w w:val="95"/>
          <w:sz w:val="32"/>
          <w:szCs w:val="32"/>
        </w:rPr>
        <w:t>数字社会</w:t>
      </w:r>
      <w:r>
        <w:rPr>
          <w:rFonts w:ascii="仿宋" w:hAnsi="仿宋" w:eastAsia="仿宋" w:cs="Times New Roman"/>
          <w:w w:val="95"/>
          <w:sz w:val="32"/>
          <w:szCs w:val="32"/>
        </w:rPr>
        <w:t>”</w:t>
      </w:r>
      <w:r>
        <w:rPr>
          <w:rFonts w:hint="eastAsia" w:ascii="仿宋" w:hAnsi="仿宋" w:eastAsia="仿宋" w:cs="仿宋"/>
          <w:w w:val="95"/>
          <w:sz w:val="32"/>
          <w:szCs w:val="32"/>
        </w:rPr>
        <w:t>转型与社会治理现代化研究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21.</w:t>
      </w:r>
      <w:r>
        <w:rPr>
          <w:rFonts w:hint="eastAsia" w:ascii="仿宋" w:hAnsi="仿宋" w:eastAsia="仿宋" w:cs="仿宋"/>
          <w:w w:val="95"/>
          <w:sz w:val="32"/>
          <w:szCs w:val="32"/>
        </w:rPr>
        <w:t>强化社会治理，加强民生保障和社会建设研究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22.</w:t>
      </w:r>
      <w:r>
        <w:rPr>
          <w:rFonts w:hint="eastAsia" w:ascii="仿宋" w:hAnsi="仿宋" w:eastAsia="仿宋" w:cs="仿宋"/>
          <w:w w:val="95"/>
          <w:sz w:val="32"/>
          <w:szCs w:val="32"/>
        </w:rPr>
        <w:t>安徽中长期人口发展战略研究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23.</w:t>
      </w:r>
      <w:r>
        <w:rPr>
          <w:rFonts w:hint="eastAsia" w:ascii="仿宋" w:hAnsi="仿宋" w:eastAsia="仿宋" w:cs="仿宋"/>
          <w:w w:val="95"/>
          <w:sz w:val="32"/>
          <w:szCs w:val="32"/>
        </w:rPr>
        <w:t>发挥行业协会商会作用研究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24.</w:t>
      </w:r>
      <w:r>
        <w:rPr>
          <w:rFonts w:hint="eastAsia" w:ascii="仿宋" w:hAnsi="仿宋" w:eastAsia="仿宋" w:cs="仿宋"/>
          <w:w w:val="95"/>
          <w:sz w:val="32"/>
          <w:szCs w:val="32"/>
        </w:rPr>
        <w:t>健康安徽建设研究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25.</w:t>
      </w:r>
      <w:r>
        <w:rPr>
          <w:rFonts w:hint="eastAsia" w:ascii="仿宋" w:hAnsi="仿宋" w:eastAsia="仿宋" w:cs="仿宋"/>
          <w:w w:val="95"/>
          <w:sz w:val="32"/>
          <w:szCs w:val="32"/>
        </w:rPr>
        <w:t>重大社会风险防范化解的安徽实践研究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26.</w:t>
      </w:r>
      <w:r>
        <w:rPr>
          <w:rFonts w:hint="eastAsia" w:ascii="仿宋" w:hAnsi="仿宋" w:eastAsia="仿宋" w:cs="仿宋"/>
          <w:w w:val="95"/>
          <w:sz w:val="32"/>
          <w:szCs w:val="32"/>
        </w:rPr>
        <w:t>社会主义意识形态理论话语创新研究</w:t>
      </w:r>
    </w:p>
    <w:p>
      <w:pPr>
        <w:autoSpaceDE w:val="0"/>
        <w:spacing w:line="560" w:lineRule="exact"/>
        <w:ind w:firstLine="640"/>
        <w:rPr>
          <w:rFonts w:ascii="仿宋" w:hAnsi="仿宋" w:eastAsia="仿宋" w:cs="Times New Roman"/>
          <w:w w:val="95"/>
          <w:sz w:val="32"/>
          <w:szCs w:val="32"/>
        </w:rPr>
      </w:pPr>
      <w:r>
        <w:rPr>
          <w:rFonts w:ascii="仿宋" w:hAnsi="仿宋" w:eastAsia="仿宋" w:cs="仿宋"/>
          <w:w w:val="95"/>
          <w:sz w:val="32"/>
          <w:szCs w:val="32"/>
        </w:rPr>
        <w:t>27.</w:t>
      </w:r>
      <w:r>
        <w:rPr>
          <w:rFonts w:hint="eastAsia" w:ascii="仿宋" w:hAnsi="仿宋" w:eastAsia="仿宋" w:cs="仿宋"/>
          <w:w w:val="95"/>
          <w:sz w:val="32"/>
          <w:szCs w:val="32"/>
        </w:rPr>
        <w:t>理想信念教育常态化制度化研究</w:t>
      </w:r>
    </w:p>
    <w:p>
      <w:pPr>
        <w:autoSpaceDE w:val="0"/>
        <w:spacing w:line="560" w:lineRule="exact"/>
        <w:ind w:firstLine="640"/>
        <w:rPr>
          <w:rFonts w:ascii="仿宋" w:hAnsi="仿宋" w:eastAsia="仿宋" w:cs="Times New Roman"/>
          <w:sz w:val="32"/>
          <w:szCs w:val="32"/>
        </w:rPr>
      </w:pPr>
      <w:r>
        <w:rPr>
          <w:rFonts w:ascii="仿宋" w:hAnsi="仿宋" w:eastAsia="仿宋" w:cs="仿宋"/>
          <w:w w:val="95"/>
          <w:sz w:val="32"/>
          <w:szCs w:val="32"/>
        </w:rPr>
        <w:t>28.</w:t>
      </w:r>
      <w:r>
        <w:rPr>
          <w:rFonts w:hint="eastAsia" w:ascii="仿宋" w:hAnsi="仿宋" w:eastAsia="仿宋" w:cs="仿宋"/>
          <w:w w:val="95"/>
          <w:sz w:val="32"/>
          <w:szCs w:val="32"/>
        </w:rPr>
        <w:t>党史学习教育常态化长效化研究</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本专场由中共安徽省委党校承担学术组织工作。联系人：方春梅；邮箱：</w:t>
      </w:r>
      <w:r>
        <w:rPr>
          <w:rFonts w:ascii="仿宋" w:hAnsi="仿宋" w:eastAsia="仿宋" w:cs="仿宋"/>
          <w:sz w:val="32"/>
          <w:szCs w:val="32"/>
        </w:rPr>
        <w:t>ahdxkyc@126.com</w:t>
      </w:r>
      <w:r>
        <w:rPr>
          <w:rFonts w:hint="eastAsia" w:ascii="仿宋" w:hAnsi="仿宋" w:eastAsia="仿宋" w:cs="仿宋"/>
          <w:sz w:val="32"/>
          <w:szCs w:val="32"/>
        </w:rPr>
        <w:t>；电话：</w:t>
      </w:r>
      <w:r>
        <w:rPr>
          <w:rFonts w:ascii="仿宋" w:hAnsi="仿宋" w:eastAsia="仿宋" w:cs="仿宋"/>
          <w:sz w:val="32"/>
          <w:szCs w:val="32"/>
        </w:rPr>
        <w:t>0551-62173564</w:t>
      </w:r>
      <w:r>
        <w:rPr>
          <w:rFonts w:hint="eastAsia" w:ascii="仿宋" w:hAnsi="仿宋" w:eastAsia="仿宋" w:cs="仿宋"/>
          <w:sz w:val="32"/>
          <w:szCs w:val="32"/>
        </w:rPr>
        <w:t>，</w:t>
      </w:r>
      <w:r>
        <w:rPr>
          <w:rFonts w:ascii="仿宋" w:hAnsi="仿宋" w:eastAsia="仿宋" w:cs="仿宋"/>
          <w:sz w:val="32"/>
          <w:szCs w:val="32"/>
        </w:rPr>
        <w:t>15705603561</w:t>
      </w:r>
      <w:r>
        <w:rPr>
          <w:rFonts w:hint="eastAsia" w:ascii="仿宋" w:hAnsi="仿宋" w:eastAsia="仿宋" w:cs="仿宋"/>
          <w:sz w:val="32"/>
          <w:szCs w:val="32"/>
        </w:rPr>
        <w:t>。</w:t>
      </w:r>
    </w:p>
    <w:p>
      <w:pPr>
        <w:autoSpaceDE w:val="0"/>
        <w:spacing w:line="560" w:lineRule="exact"/>
        <w:ind w:firstLine="640" w:firstLineChars="200"/>
        <w:rPr>
          <w:rFonts w:ascii="楷体" w:hAnsi="楷体" w:eastAsia="楷体" w:cs="Times New Roman"/>
          <w:sz w:val="32"/>
          <w:szCs w:val="32"/>
        </w:rPr>
      </w:pPr>
      <w:r>
        <w:rPr>
          <w:rFonts w:hint="eastAsia" w:ascii="楷体" w:hAnsi="楷体" w:eastAsia="楷体" w:cs="楷体"/>
          <w:sz w:val="32"/>
          <w:szCs w:val="32"/>
        </w:rPr>
        <w:t>（二）激发美好安徽建设的新动能新活力专场</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习近平经济思想的安徽实践研究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习近平生态文明思想的安徽实践研究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在高质量发展中促进共同富裕研究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规范和引导资本有序发展研究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保障农产品供给安全研究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防范化解重大经济风险研究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安徽有序推进碳达峰碳中和研究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安徽打造“三地一区”推动高质量发展研究</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大力推进“创业安徽”建设研究</w:t>
      </w:r>
      <w:r>
        <w:rPr>
          <w:rFonts w:ascii="仿宋" w:hAnsi="仿宋" w:eastAsia="仿宋" w:cs="仿宋"/>
          <w:sz w:val="32"/>
          <w:szCs w:val="32"/>
        </w:rPr>
        <w:t xml:space="preserve"> </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10.</w:t>
      </w:r>
      <w:r>
        <w:rPr>
          <w:rFonts w:hint="eastAsia" w:ascii="仿宋" w:hAnsi="仿宋" w:eastAsia="仿宋" w:cs="仿宋"/>
          <w:sz w:val="32"/>
          <w:szCs w:val="32"/>
        </w:rPr>
        <w:t>安徽实施三次产业高质量协同发展研究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11.</w:t>
      </w:r>
      <w:r>
        <w:rPr>
          <w:rFonts w:hint="eastAsia" w:ascii="仿宋" w:hAnsi="仿宋" w:eastAsia="仿宋" w:cs="仿宋"/>
          <w:sz w:val="32"/>
          <w:szCs w:val="32"/>
        </w:rPr>
        <w:t>安徽“亩均论英雄”改革研究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12.</w:t>
      </w:r>
      <w:r>
        <w:rPr>
          <w:rFonts w:hint="eastAsia" w:ascii="仿宋" w:hAnsi="仿宋" w:eastAsia="仿宋" w:cs="仿宋"/>
          <w:sz w:val="32"/>
          <w:szCs w:val="32"/>
        </w:rPr>
        <w:t>全面完善新兴产业“双招双引”机制研究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13.</w:t>
      </w:r>
      <w:r>
        <w:rPr>
          <w:rFonts w:hint="eastAsia" w:ascii="仿宋" w:hAnsi="仿宋" w:eastAsia="仿宋" w:cs="仿宋"/>
          <w:sz w:val="32"/>
          <w:szCs w:val="32"/>
        </w:rPr>
        <w:t>安徽科技产业组织人才培养研究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14.</w:t>
      </w:r>
      <w:r>
        <w:rPr>
          <w:rFonts w:hint="eastAsia" w:ascii="仿宋" w:hAnsi="仿宋" w:eastAsia="仿宋" w:cs="仿宋"/>
          <w:sz w:val="32"/>
          <w:szCs w:val="32"/>
        </w:rPr>
        <w:t>安徽打造具有重要影响力的科技创新策源地研究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15.</w:t>
      </w:r>
      <w:r>
        <w:rPr>
          <w:rFonts w:hint="eastAsia" w:ascii="仿宋" w:hAnsi="仿宋" w:eastAsia="仿宋" w:cs="仿宋"/>
          <w:sz w:val="32"/>
          <w:szCs w:val="32"/>
        </w:rPr>
        <w:t>安徽专精特新企业成长生态研究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16.</w:t>
      </w:r>
      <w:r>
        <w:rPr>
          <w:rFonts w:hint="eastAsia" w:ascii="仿宋" w:hAnsi="仿宋" w:eastAsia="仿宋" w:cs="仿宋"/>
          <w:sz w:val="32"/>
          <w:szCs w:val="32"/>
        </w:rPr>
        <w:t>提高产业链供应链稳定性的安徽贡献研究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17.</w:t>
      </w:r>
      <w:r>
        <w:rPr>
          <w:rFonts w:hint="eastAsia" w:ascii="仿宋" w:hAnsi="仿宋" w:eastAsia="仿宋" w:cs="仿宋"/>
          <w:sz w:val="32"/>
          <w:szCs w:val="32"/>
        </w:rPr>
        <w:t>数字经济赋能安徽产业升级研究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18.</w:t>
      </w:r>
      <w:r>
        <w:rPr>
          <w:rFonts w:hint="eastAsia" w:ascii="仿宋" w:hAnsi="仿宋" w:eastAsia="仿宋" w:cs="仿宋"/>
          <w:sz w:val="32"/>
          <w:szCs w:val="32"/>
        </w:rPr>
        <w:t>构建安徽多层次金融支持服务实体经济体系研究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19.</w:t>
      </w:r>
      <w:r>
        <w:rPr>
          <w:rFonts w:hint="eastAsia" w:ascii="仿宋" w:hAnsi="仿宋" w:eastAsia="仿宋" w:cs="仿宋"/>
          <w:sz w:val="32"/>
          <w:szCs w:val="32"/>
        </w:rPr>
        <w:t>进一步推进省以下财政体制改革研究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20.</w:t>
      </w:r>
      <w:r>
        <w:rPr>
          <w:rFonts w:hint="eastAsia" w:ascii="仿宋" w:hAnsi="仿宋" w:eastAsia="仿宋" w:cs="仿宋"/>
          <w:sz w:val="32"/>
          <w:szCs w:val="32"/>
        </w:rPr>
        <w:t>进一步激发县域经济高质量发展动力研究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21.</w:t>
      </w:r>
      <w:r>
        <w:rPr>
          <w:rFonts w:hint="eastAsia" w:ascii="仿宋" w:hAnsi="仿宋" w:eastAsia="仿宋" w:cs="仿宋"/>
          <w:sz w:val="32"/>
          <w:szCs w:val="32"/>
        </w:rPr>
        <w:t>进一步推进新时代安徽民营经济高质量发展研究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22.</w:t>
      </w:r>
      <w:r>
        <w:rPr>
          <w:rFonts w:hint="eastAsia" w:ascii="仿宋" w:hAnsi="仿宋" w:eastAsia="仿宋" w:cs="仿宋"/>
          <w:sz w:val="32"/>
          <w:szCs w:val="32"/>
        </w:rPr>
        <w:t>全面推进安徽乡村振兴的路径与效果研究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23.</w:t>
      </w:r>
      <w:r>
        <w:rPr>
          <w:rFonts w:hint="eastAsia" w:ascii="仿宋" w:hAnsi="仿宋" w:eastAsia="仿宋" w:cs="仿宋"/>
          <w:sz w:val="32"/>
          <w:szCs w:val="32"/>
        </w:rPr>
        <w:t>新兴产业发展与“冠军企业”培育的政策支持研究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24.</w:t>
      </w:r>
      <w:r>
        <w:rPr>
          <w:rFonts w:hint="eastAsia" w:ascii="仿宋" w:hAnsi="仿宋" w:eastAsia="仿宋" w:cs="仿宋"/>
          <w:sz w:val="32"/>
          <w:szCs w:val="32"/>
        </w:rPr>
        <w:t>安徽更好融入和服务“双循环”发展研究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25.</w:t>
      </w:r>
      <w:r>
        <w:rPr>
          <w:rFonts w:hint="eastAsia" w:ascii="仿宋" w:hAnsi="仿宋" w:eastAsia="仿宋" w:cs="仿宋"/>
          <w:sz w:val="32"/>
          <w:szCs w:val="32"/>
        </w:rPr>
        <w:t>淮河生态经济带与长江经济带融合发展策略研究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26.</w:t>
      </w:r>
      <w:r>
        <w:rPr>
          <w:rFonts w:hint="eastAsia" w:ascii="仿宋" w:hAnsi="仿宋" w:eastAsia="仿宋" w:cs="仿宋"/>
          <w:sz w:val="32"/>
          <w:szCs w:val="32"/>
        </w:rPr>
        <w:t>深化安徽自贸试验区建设研究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27.</w:t>
      </w:r>
      <w:r>
        <w:rPr>
          <w:rFonts w:hint="eastAsia" w:ascii="仿宋" w:hAnsi="仿宋" w:eastAsia="仿宋" w:cs="仿宋"/>
          <w:sz w:val="32"/>
          <w:szCs w:val="32"/>
        </w:rPr>
        <w:t>长三角一体化发展与推进创新创业服务研究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28.</w:t>
      </w:r>
      <w:r>
        <w:rPr>
          <w:rFonts w:hint="eastAsia" w:ascii="仿宋" w:hAnsi="仿宋" w:eastAsia="仿宋" w:cs="仿宋"/>
          <w:sz w:val="32"/>
          <w:szCs w:val="32"/>
        </w:rPr>
        <w:t>长三角产业链分工合作与安徽省新兴产业集群发展研究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29.</w:t>
      </w:r>
      <w:r>
        <w:rPr>
          <w:rFonts w:hint="eastAsia" w:ascii="仿宋" w:hAnsi="仿宋" w:eastAsia="仿宋" w:cs="仿宋"/>
          <w:sz w:val="32"/>
          <w:szCs w:val="32"/>
        </w:rPr>
        <w:t>推进长三角科技创新共同体建设研究</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30.</w:t>
      </w:r>
      <w:r>
        <w:rPr>
          <w:rFonts w:hint="eastAsia" w:ascii="仿宋" w:hAnsi="仿宋" w:eastAsia="仿宋" w:cs="仿宋"/>
          <w:sz w:val="32"/>
          <w:szCs w:val="32"/>
        </w:rPr>
        <w:t>长三角一体化背景下推进皖北振兴研究</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本专场由安徽财经大学社科联承担学术组织工作。联系人：张露伊；邮箱：</w:t>
      </w:r>
      <w:r>
        <w:rPr>
          <w:rFonts w:ascii="仿宋" w:hAnsi="仿宋" w:eastAsia="仿宋" w:cs="仿宋"/>
          <w:color w:val="000000"/>
          <w:sz w:val="30"/>
          <w:szCs w:val="30"/>
        </w:rPr>
        <w:t>ackycxsjl@163.com</w:t>
      </w:r>
      <w:r>
        <w:rPr>
          <w:rFonts w:hint="eastAsia" w:ascii="仿宋" w:hAnsi="仿宋" w:eastAsia="仿宋" w:cs="仿宋"/>
          <w:sz w:val="32"/>
          <w:szCs w:val="32"/>
        </w:rPr>
        <w:t>；电话：</w:t>
      </w:r>
      <w:r>
        <w:rPr>
          <w:rFonts w:ascii="仿宋" w:hAnsi="仿宋" w:eastAsia="仿宋" w:cs="仿宋"/>
          <w:color w:val="000000"/>
          <w:sz w:val="30"/>
          <w:szCs w:val="30"/>
        </w:rPr>
        <w:t>13855166979</w:t>
      </w:r>
      <w:r>
        <w:rPr>
          <w:rFonts w:hint="eastAsia" w:ascii="仿宋" w:hAnsi="仿宋" w:eastAsia="仿宋" w:cs="仿宋"/>
          <w:sz w:val="32"/>
          <w:szCs w:val="32"/>
        </w:rPr>
        <w:t>。</w:t>
      </w:r>
    </w:p>
    <w:p>
      <w:pPr>
        <w:autoSpaceDE w:val="0"/>
        <w:spacing w:line="560" w:lineRule="exact"/>
        <w:ind w:firstLine="640" w:firstLineChars="200"/>
        <w:rPr>
          <w:rFonts w:ascii="楷体" w:hAnsi="楷体" w:eastAsia="楷体" w:cs="Times New Roman"/>
          <w:sz w:val="32"/>
          <w:szCs w:val="32"/>
        </w:rPr>
      </w:pPr>
      <w:r>
        <w:rPr>
          <w:rFonts w:hint="eastAsia" w:ascii="楷体" w:hAnsi="楷体" w:eastAsia="楷体" w:cs="楷体"/>
          <w:sz w:val="32"/>
          <w:szCs w:val="32"/>
        </w:rPr>
        <w:t>（三）增强安徽文化的认同感归属感专场</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1.</w:t>
      </w:r>
      <w:r>
        <w:rPr>
          <w:rFonts w:hint="eastAsia" w:ascii="仿宋" w:hAnsi="仿宋" w:eastAsia="仿宋" w:cs="仿宋"/>
          <w:sz w:val="30"/>
          <w:szCs w:val="30"/>
        </w:rPr>
        <w:t>习近平总书记关于弘扬中华优秀传统文化重要论述研究</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2.</w:t>
      </w:r>
      <w:r>
        <w:rPr>
          <w:rFonts w:hint="eastAsia" w:ascii="仿宋" w:hAnsi="仿宋" w:eastAsia="仿宋" w:cs="仿宋"/>
          <w:sz w:val="30"/>
          <w:szCs w:val="30"/>
        </w:rPr>
        <w:t>习近平总书记关于大历史观的重要论述研究</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3.</w:t>
      </w:r>
      <w:r>
        <w:rPr>
          <w:rFonts w:hint="eastAsia" w:ascii="仿宋" w:hAnsi="仿宋" w:eastAsia="仿宋" w:cs="仿宋"/>
          <w:sz w:val="30"/>
          <w:szCs w:val="30"/>
        </w:rPr>
        <w:t>关于中国人的宇宙观、天下观、社会观、道德观研究</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4.</w:t>
      </w:r>
      <w:r>
        <w:rPr>
          <w:rFonts w:hint="eastAsia" w:ascii="仿宋" w:hAnsi="仿宋" w:eastAsia="仿宋" w:cs="仿宋"/>
          <w:sz w:val="30"/>
          <w:szCs w:val="30"/>
        </w:rPr>
        <w:t>百年安徽光荣革命传统和精神谱系研究</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5.</w:t>
      </w:r>
      <w:r>
        <w:rPr>
          <w:rFonts w:hint="eastAsia" w:ascii="仿宋" w:hAnsi="仿宋" w:eastAsia="仿宋" w:cs="仿宋"/>
          <w:sz w:val="30"/>
          <w:szCs w:val="30"/>
        </w:rPr>
        <w:t>党的十八以来安徽文化与安徽发展的互动关系研究</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6.</w:t>
      </w:r>
      <w:r>
        <w:rPr>
          <w:rFonts w:hint="eastAsia" w:ascii="仿宋" w:hAnsi="仿宋" w:eastAsia="仿宋" w:cs="仿宋"/>
          <w:sz w:val="30"/>
          <w:szCs w:val="30"/>
        </w:rPr>
        <w:t>安徽文化与中华文明探源工程关系研究</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7.</w:t>
      </w:r>
      <w:r>
        <w:rPr>
          <w:rFonts w:hint="eastAsia" w:ascii="仿宋" w:hAnsi="仿宋" w:eastAsia="仿宋" w:cs="仿宋"/>
          <w:sz w:val="30"/>
          <w:szCs w:val="30"/>
        </w:rPr>
        <w:t>增强安徽历史文化的归属感认同感研究</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8.</w:t>
      </w:r>
      <w:r>
        <w:rPr>
          <w:rFonts w:hint="eastAsia" w:ascii="仿宋" w:hAnsi="仿宋" w:eastAsia="仿宋" w:cs="仿宋"/>
          <w:sz w:val="30"/>
          <w:szCs w:val="30"/>
        </w:rPr>
        <w:t>关于现代化美好安徽发展形象发展环境塑造与传播研究</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9.</w:t>
      </w:r>
      <w:r>
        <w:rPr>
          <w:rFonts w:hint="eastAsia" w:ascii="仿宋" w:hAnsi="仿宋" w:eastAsia="仿宋" w:cs="仿宋"/>
          <w:sz w:val="30"/>
          <w:szCs w:val="30"/>
        </w:rPr>
        <w:t>安徽文化建设的顶层设计和主动塑造研究</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10.</w:t>
      </w:r>
      <w:r>
        <w:rPr>
          <w:rFonts w:hint="eastAsia" w:ascii="仿宋" w:hAnsi="仿宋" w:eastAsia="仿宋" w:cs="仿宋"/>
          <w:sz w:val="30"/>
          <w:szCs w:val="30"/>
        </w:rPr>
        <w:t>数字科技赋能文化产业发展研究</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11.</w:t>
      </w:r>
      <w:r>
        <w:rPr>
          <w:rFonts w:hint="eastAsia" w:ascii="仿宋" w:hAnsi="仿宋" w:eastAsia="仿宋" w:cs="仿宋"/>
          <w:sz w:val="30"/>
          <w:szCs w:val="30"/>
        </w:rPr>
        <w:t>徽文化、皖江历史文化、淮河文化等区域文化研究</w:t>
      </w:r>
    </w:p>
    <w:p>
      <w:pPr>
        <w:autoSpaceDE w:val="0"/>
        <w:spacing w:line="560" w:lineRule="exact"/>
        <w:ind w:left="640"/>
        <w:rPr>
          <w:rFonts w:ascii="仿宋" w:hAnsi="仿宋" w:eastAsia="仿宋" w:cs="Times New Roman"/>
          <w:sz w:val="30"/>
          <w:szCs w:val="30"/>
        </w:rPr>
      </w:pPr>
      <w:r>
        <w:rPr>
          <w:rFonts w:ascii="仿宋" w:hAnsi="仿宋" w:eastAsia="仿宋" w:cs="仿宋"/>
          <w:sz w:val="30"/>
          <w:szCs w:val="30"/>
        </w:rPr>
        <w:t>12.</w:t>
      </w:r>
      <w:r>
        <w:rPr>
          <w:rFonts w:hint="eastAsia" w:ascii="仿宋" w:hAnsi="仿宋" w:eastAsia="仿宋" w:cs="仿宋"/>
          <w:sz w:val="30"/>
          <w:szCs w:val="30"/>
        </w:rPr>
        <w:t>大运河（安徽段）文化研究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13.</w:t>
      </w:r>
      <w:r>
        <w:rPr>
          <w:rFonts w:hint="eastAsia" w:ascii="仿宋" w:hAnsi="仿宋" w:eastAsia="仿宋" w:cs="仿宋"/>
          <w:sz w:val="32"/>
          <w:szCs w:val="32"/>
        </w:rPr>
        <w:t>安徽历史文化名人研究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14.</w:t>
      </w:r>
      <w:r>
        <w:rPr>
          <w:rFonts w:hint="eastAsia" w:ascii="仿宋" w:hAnsi="仿宋" w:eastAsia="仿宋" w:cs="仿宋"/>
          <w:sz w:val="32"/>
          <w:szCs w:val="32"/>
        </w:rPr>
        <w:t>安徽历史文献整理与研究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15.</w:t>
      </w:r>
      <w:r>
        <w:rPr>
          <w:rFonts w:hint="eastAsia" w:ascii="仿宋" w:hAnsi="仿宋" w:eastAsia="仿宋" w:cs="仿宋"/>
          <w:sz w:val="32"/>
          <w:szCs w:val="32"/>
        </w:rPr>
        <w:t>关于安徽区域文化的整合研究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16.</w:t>
      </w:r>
      <w:r>
        <w:rPr>
          <w:rFonts w:hint="eastAsia" w:ascii="仿宋" w:hAnsi="仿宋" w:eastAsia="仿宋" w:cs="仿宋"/>
          <w:sz w:val="32"/>
          <w:szCs w:val="32"/>
        </w:rPr>
        <w:t>安徽文化品牌建设研究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17.</w:t>
      </w:r>
      <w:r>
        <w:rPr>
          <w:rFonts w:hint="eastAsia" w:ascii="仿宋" w:hAnsi="仿宋" w:eastAsia="仿宋" w:cs="仿宋"/>
          <w:sz w:val="32"/>
          <w:szCs w:val="32"/>
        </w:rPr>
        <w:t>安徽非物质文化遗产传承与发展研究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18.</w:t>
      </w:r>
      <w:r>
        <w:rPr>
          <w:rFonts w:hint="eastAsia" w:ascii="仿宋" w:hAnsi="仿宋" w:eastAsia="仿宋" w:cs="仿宋"/>
          <w:sz w:val="32"/>
          <w:szCs w:val="32"/>
        </w:rPr>
        <w:t>安徽传统名茶和茶文化研究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19.</w:t>
      </w:r>
      <w:r>
        <w:rPr>
          <w:rFonts w:hint="eastAsia" w:ascii="仿宋" w:hAnsi="仿宋" w:eastAsia="仿宋" w:cs="仿宋"/>
          <w:sz w:val="32"/>
          <w:szCs w:val="32"/>
        </w:rPr>
        <w:t>安徽历史文化名城名镇名村保护利用研究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20.</w:t>
      </w:r>
      <w:r>
        <w:rPr>
          <w:rFonts w:hint="eastAsia" w:ascii="仿宋" w:hAnsi="仿宋" w:eastAsia="仿宋" w:cs="仿宋"/>
          <w:sz w:val="32"/>
          <w:szCs w:val="32"/>
        </w:rPr>
        <w:t>安徽地方方言、戏曲等发展研究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21.</w:t>
      </w:r>
      <w:r>
        <w:rPr>
          <w:rFonts w:hint="eastAsia" w:ascii="仿宋" w:hAnsi="仿宋" w:eastAsia="仿宋" w:cs="仿宋"/>
          <w:sz w:val="32"/>
          <w:szCs w:val="32"/>
        </w:rPr>
        <w:t>安徽中医药文化挖掘与华夏历史文明阐释研究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22.</w:t>
      </w:r>
      <w:r>
        <w:rPr>
          <w:rFonts w:hint="eastAsia" w:ascii="仿宋" w:hAnsi="仿宋" w:eastAsia="仿宋" w:cs="仿宋"/>
          <w:sz w:val="32"/>
          <w:szCs w:val="32"/>
        </w:rPr>
        <w:t>安徽文化传播与影响力提升研究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23.</w:t>
      </w:r>
      <w:r>
        <w:rPr>
          <w:rFonts w:hint="eastAsia" w:ascii="仿宋" w:hAnsi="仿宋" w:eastAsia="仿宋" w:cs="仿宋"/>
          <w:sz w:val="32"/>
          <w:szCs w:val="32"/>
        </w:rPr>
        <w:t>新时代江南文化的传承与创新研究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24.</w:t>
      </w:r>
      <w:r>
        <w:rPr>
          <w:rFonts w:hint="eastAsia" w:ascii="仿宋" w:hAnsi="仿宋" w:eastAsia="仿宋" w:cs="仿宋"/>
          <w:sz w:val="32"/>
          <w:szCs w:val="32"/>
        </w:rPr>
        <w:t>长江文化、江南文化与安徽文化融合发展研究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25.</w:t>
      </w:r>
      <w:r>
        <w:rPr>
          <w:rFonts w:hint="eastAsia" w:ascii="仿宋" w:hAnsi="仿宋" w:eastAsia="仿宋" w:cs="仿宋"/>
          <w:sz w:val="32"/>
          <w:szCs w:val="32"/>
        </w:rPr>
        <w:t>近代以来长三角地区城市现代化与社会转型研究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26.</w:t>
      </w:r>
      <w:r>
        <w:rPr>
          <w:rFonts w:hint="eastAsia" w:ascii="仿宋" w:hAnsi="仿宋" w:eastAsia="仿宋" w:cs="仿宋"/>
          <w:sz w:val="32"/>
          <w:szCs w:val="32"/>
        </w:rPr>
        <w:t>长三角区域文化产业市场一体化研究</w:t>
      </w:r>
    </w:p>
    <w:p>
      <w:pPr>
        <w:autoSpaceDE w:val="0"/>
        <w:spacing w:line="560" w:lineRule="exact"/>
        <w:ind w:left="640"/>
        <w:rPr>
          <w:rFonts w:ascii="仿宋" w:hAnsi="仿宋" w:eastAsia="仿宋" w:cs="Times New Roman"/>
          <w:sz w:val="32"/>
          <w:szCs w:val="32"/>
        </w:rPr>
      </w:pPr>
      <w:r>
        <w:rPr>
          <w:rFonts w:ascii="仿宋" w:hAnsi="仿宋" w:eastAsia="仿宋" w:cs="仿宋"/>
          <w:sz w:val="32"/>
          <w:szCs w:val="32"/>
        </w:rPr>
        <w:t>27.</w:t>
      </w:r>
      <w:r>
        <w:rPr>
          <w:rFonts w:hint="eastAsia" w:ascii="仿宋" w:hAnsi="仿宋" w:eastAsia="仿宋" w:cs="仿宋"/>
          <w:sz w:val="32"/>
          <w:szCs w:val="32"/>
        </w:rPr>
        <w:t>打造长三角城市“后花园”的皖南旅游发展战略研究</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本专场由黄山学院社科联承担学术组织工作。联系人：</w:t>
      </w:r>
      <w:r>
        <w:rPr>
          <w:rFonts w:hint="eastAsia" w:ascii="仿宋" w:hAnsi="仿宋" w:eastAsia="仿宋" w:cs="仿宋"/>
          <w:sz w:val="30"/>
          <w:szCs w:val="30"/>
        </w:rPr>
        <w:t>王东楼</w:t>
      </w:r>
      <w:r>
        <w:rPr>
          <w:rFonts w:hint="eastAsia" w:ascii="仿宋" w:hAnsi="仿宋" w:eastAsia="仿宋" w:cs="仿宋"/>
          <w:sz w:val="32"/>
          <w:szCs w:val="32"/>
        </w:rPr>
        <w:t>；邮箱：</w:t>
      </w:r>
      <w:r>
        <w:rPr>
          <w:rFonts w:ascii="仿宋" w:hAnsi="仿宋" w:eastAsia="仿宋" w:cs="仿宋"/>
          <w:sz w:val="32"/>
          <w:szCs w:val="32"/>
        </w:rPr>
        <w:t>600034@hsu.edu.cn</w:t>
      </w:r>
      <w:r>
        <w:rPr>
          <w:rFonts w:hint="eastAsia" w:ascii="仿宋" w:hAnsi="仿宋" w:eastAsia="仿宋" w:cs="仿宋"/>
          <w:sz w:val="32"/>
          <w:szCs w:val="32"/>
        </w:rPr>
        <w:t>；电话：</w:t>
      </w:r>
      <w:r>
        <w:rPr>
          <w:rFonts w:ascii="仿宋" w:hAnsi="仿宋" w:eastAsia="仿宋" w:cs="仿宋"/>
          <w:sz w:val="32"/>
          <w:szCs w:val="32"/>
        </w:rPr>
        <w:t>15255980593</w:t>
      </w:r>
      <w:r>
        <w:rPr>
          <w:rFonts w:hint="eastAsia" w:ascii="仿宋" w:hAnsi="仿宋" w:eastAsia="仿宋" w:cs="仿宋"/>
          <w:sz w:val="32"/>
          <w:szCs w:val="32"/>
        </w:rPr>
        <w:t>。</w:t>
      </w:r>
    </w:p>
    <w:p>
      <w:pPr>
        <w:autoSpaceDE w:val="0"/>
        <w:spacing w:line="560" w:lineRule="exact"/>
        <w:ind w:firstLine="640" w:firstLineChars="200"/>
        <w:rPr>
          <w:rFonts w:ascii="楷体" w:hAnsi="楷体" w:eastAsia="楷体" w:cs="Times New Roman"/>
          <w:sz w:val="32"/>
          <w:szCs w:val="32"/>
        </w:rPr>
      </w:pPr>
      <w:r>
        <w:rPr>
          <w:rFonts w:hint="eastAsia" w:ascii="楷体" w:hAnsi="楷体" w:eastAsia="楷体" w:cs="楷体"/>
          <w:sz w:val="32"/>
          <w:szCs w:val="32"/>
        </w:rPr>
        <w:t>（四）青年学术论坛</w:t>
      </w:r>
    </w:p>
    <w:p>
      <w:pPr>
        <w:autoSpaceDE w:val="0"/>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着眼学术传承创新，搭建资深学者与青年学者对话交流的平台；展示新时代我省青年学者最新研究成果、最新研究方法，传递分享治学成功经验。青年学术论坛方案另发。</w:t>
      </w:r>
      <w:bookmarkStart w:id="0" w:name="_GoBack"/>
      <w:bookmarkEnd w:id="0"/>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_GB2312">
    <w:altName w:val="Arial"/>
    <w:panose1 w:val="00000000000000000000"/>
    <w:charset w:val="00"/>
    <w:family w:val="moder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1"/>
      <w:ind w:left="378" w:leftChars="180" w:right="378" w:rightChars="180"/>
      <w:jc w:val="right"/>
      <w:rPr>
        <w:rStyle w:val="7"/>
        <w:rFonts w:ascii="宋体" w:cs="Times New Roman"/>
        <w:sz w:val="28"/>
        <w:szCs w:val="28"/>
      </w:rPr>
    </w:pPr>
    <w:r>
      <w:rPr>
        <w:rStyle w:val="7"/>
        <w:rFonts w:ascii="宋体"/>
        <w:sz w:val="28"/>
        <w:szCs w:val="28"/>
      </w:rPr>
      <w:t>—</w:t>
    </w:r>
    <w:r>
      <w:rPr>
        <w:rStyle w:val="7"/>
        <w:rFonts w:ascii="宋体" w:cs="宋体"/>
        <w:sz w:val="28"/>
        <w:szCs w:val="28"/>
      </w:rPr>
      <w:t xml:space="preserve"> </w:t>
    </w:r>
    <w:r>
      <w:rPr>
        <w:rStyle w:val="7"/>
        <w:rFonts w:ascii="宋体" w:cs="宋体"/>
        <w:sz w:val="28"/>
        <w:szCs w:val="28"/>
      </w:rPr>
      <w:fldChar w:fldCharType="begin"/>
    </w:r>
    <w:r>
      <w:rPr>
        <w:rStyle w:val="7"/>
        <w:rFonts w:ascii="宋体" w:cs="宋体"/>
        <w:sz w:val="28"/>
        <w:szCs w:val="28"/>
      </w:rPr>
      <w:instrText xml:space="preserve">PAGE  </w:instrText>
    </w:r>
    <w:r>
      <w:rPr>
        <w:rStyle w:val="7"/>
        <w:rFonts w:ascii="宋体" w:cs="宋体"/>
        <w:sz w:val="28"/>
        <w:szCs w:val="28"/>
      </w:rPr>
      <w:fldChar w:fldCharType="separate"/>
    </w:r>
    <w:r>
      <w:rPr>
        <w:rStyle w:val="7"/>
        <w:rFonts w:ascii="宋体" w:cs="宋体"/>
        <w:sz w:val="28"/>
        <w:szCs w:val="28"/>
      </w:rPr>
      <w:t>10</w:t>
    </w:r>
    <w:r>
      <w:rPr>
        <w:rStyle w:val="7"/>
        <w:rFonts w:ascii="宋体" w:cs="宋体"/>
        <w:sz w:val="28"/>
        <w:szCs w:val="28"/>
      </w:rPr>
      <w:fldChar w:fldCharType="end"/>
    </w:r>
    <w:r>
      <w:rPr>
        <w:rStyle w:val="7"/>
        <w:rFonts w:ascii="宋体" w:cs="宋体"/>
        <w:sz w:val="28"/>
        <w:szCs w:val="28"/>
      </w:rPr>
      <w:t xml:space="preserve"> </w:t>
    </w:r>
    <w:r>
      <w:rPr>
        <w:rStyle w:val="7"/>
        <w:rFonts w:ascii="宋体"/>
        <w:sz w:val="28"/>
        <w:szCs w:val="28"/>
      </w:rPr>
      <w:t>—</w:t>
    </w:r>
  </w:p>
  <w:p>
    <w:pPr>
      <w:pStyle w:val="3"/>
      <w:ind w:right="360" w:firstLine="360"/>
      <w:rPr>
        <w:rFonts w:cs="Times New Roman"/>
      </w:rPr>
    </w:pPr>
    <w:r>
      <w:pict>
        <v:shape id="_x0000_s2049" o:spid="_x0000_s2049" o:spt="202" type="#_x0000_t202" style="position:absolute;left:0pt;margin-top:0pt;height:11pt;width:4.6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cs="Times New Roman"/>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E2222"/>
    <w:multiLevelType w:val="singleLevel"/>
    <w:tmpl w:val="0A0E22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M4NzlhZDY4OWI2OTBkY2EzYWQxMmI2NWVkNzg1ODkifQ=="/>
  </w:docVars>
  <w:rsids>
    <w:rsidRoot w:val="003F51AF"/>
    <w:rsid w:val="0004051D"/>
    <w:rsid w:val="00052AC4"/>
    <w:rsid w:val="000B4917"/>
    <w:rsid w:val="000E03BC"/>
    <w:rsid w:val="001E0B09"/>
    <w:rsid w:val="003C1F48"/>
    <w:rsid w:val="003F4D09"/>
    <w:rsid w:val="003F51AF"/>
    <w:rsid w:val="00420249"/>
    <w:rsid w:val="00474796"/>
    <w:rsid w:val="00635468"/>
    <w:rsid w:val="006973E0"/>
    <w:rsid w:val="007060F7"/>
    <w:rsid w:val="007F3FB3"/>
    <w:rsid w:val="007F487B"/>
    <w:rsid w:val="008906EC"/>
    <w:rsid w:val="008A5029"/>
    <w:rsid w:val="009459D1"/>
    <w:rsid w:val="009B136D"/>
    <w:rsid w:val="009D2526"/>
    <w:rsid w:val="00A76003"/>
    <w:rsid w:val="00B16764"/>
    <w:rsid w:val="00B85810"/>
    <w:rsid w:val="00BE4CB6"/>
    <w:rsid w:val="00C0206B"/>
    <w:rsid w:val="00C11252"/>
    <w:rsid w:val="00C216DE"/>
    <w:rsid w:val="00C73AFE"/>
    <w:rsid w:val="00CA4C61"/>
    <w:rsid w:val="00D1190B"/>
    <w:rsid w:val="00D54334"/>
    <w:rsid w:val="00DE40A7"/>
    <w:rsid w:val="00E04321"/>
    <w:rsid w:val="00F257CE"/>
    <w:rsid w:val="00F72C46"/>
    <w:rsid w:val="00F9608A"/>
    <w:rsid w:val="1ABA29FA"/>
    <w:rsid w:val="1DF19F6E"/>
    <w:rsid w:val="1EC5DC8A"/>
    <w:rsid w:val="2FDF5975"/>
    <w:rsid w:val="35DFD767"/>
    <w:rsid w:val="35E980A6"/>
    <w:rsid w:val="38762C9A"/>
    <w:rsid w:val="3BF7EE21"/>
    <w:rsid w:val="3CFE8C2A"/>
    <w:rsid w:val="3DDF9354"/>
    <w:rsid w:val="3F7F775D"/>
    <w:rsid w:val="3FFB91A4"/>
    <w:rsid w:val="3FFF8553"/>
    <w:rsid w:val="513C1A99"/>
    <w:rsid w:val="5EED3757"/>
    <w:rsid w:val="5FFE6360"/>
    <w:rsid w:val="66E3942F"/>
    <w:rsid w:val="6FFFF173"/>
    <w:rsid w:val="777BAB97"/>
    <w:rsid w:val="77CF1050"/>
    <w:rsid w:val="77F96355"/>
    <w:rsid w:val="79BB4259"/>
    <w:rsid w:val="79FEB37D"/>
    <w:rsid w:val="7B7E41BB"/>
    <w:rsid w:val="7BB9C23D"/>
    <w:rsid w:val="7BDDA10A"/>
    <w:rsid w:val="7CE31D43"/>
    <w:rsid w:val="7DFB9DAD"/>
    <w:rsid w:val="7F76CB10"/>
    <w:rsid w:val="7FEBD2C8"/>
    <w:rsid w:val="7FFF1268"/>
    <w:rsid w:val="7FFFF041"/>
    <w:rsid w:val="9E7CA2CF"/>
    <w:rsid w:val="B57327F0"/>
    <w:rsid w:val="B7FF640D"/>
    <w:rsid w:val="BCBB14D8"/>
    <w:rsid w:val="BF3A99E9"/>
    <w:rsid w:val="BFEBA277"/>
    <w:rsid w:val="D5FDE950"/>
    <w:rsid w:val="D69A6948"/>
    <w:rsid w:val="DFC713BB"/>
    <w:rsid w:val="E7593EC3"/>
    <w:rsid w:val="E9DB6E21"/>
    <w:rsid w:val="EDFB5A02"/>
    <w:rsid w:val="EFC401F4"/>
    <w:rsid w:val="EFDD51D3"/>
    <w:rsid w:val="F5E734BB"/>
    <w:rsid w:val="F9DE3564"/>
    <w:rsid w:val="FAFF734E"/>
    <w:rsid w:val="FBFFDA66"/>
    <w:rsid w:val="FEB5640D"/>
    <w:rsid w:val="FEE7441C"/>
    <w:rsid w:val="FEF972DC"/>
    <w:rsid w:val="FF5E6CC2"/>
    <w:rsid w:val="FFDA4EA7"/>
    <w:rsid w:val="FFF7F3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uiPriority w:val="99"/>
    <w:pPr>
      <w:spacing w:after="120"/>
      <w:textAlignment w:val="baseline"/>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styleId="8">
    <w:name w:val="Hyperlink"/>
    <w:basedOn w:val="6"/>
    <w:qFormat/>
    <w:uiPriority w:val="99"/>
    <w:rPr>
      <w:color w:val="auto"/>
      <w:u w:val="single"/>
    </w:rPr>
  </w:style>
  <w:style w:type="character" w:customStyle="1" w:styleId="9">
    <w:name w:val="Footer Char"/>
    <w:basedOn w:val="6"/>
    <w:link w:val="3"/>
    <w:qFormat/>
    <w:locked/>
    <w:uiPriority w:val="99"/>
    <w:rPr>
      <w:sz w:val="18"/>
      <w:szCs w:val="18"/>
    </w:rPr>
  </w:style>
  <w:style w:type="character" w:customStyle="1" w:styleId="10">
    <w:name w:val="Header Char"/>
    <w:basedOn w:val="6"/>
    <w:link w:val="4"/>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HFUT</Company>
  <Pages>11</Pages>
  <Words>3940</Words>
  <Characters>4252</Characters>
  <Lines>0</Lines>
  <Paragraphs>0</Paragraphs>
  <TotalTime>1</TotalTime>
  <ScaleCrop>false</ScaleCrop>
  <LinksUpToDate>false</LinksUpToDate>
  <CharactersWithSpaces>4387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2022-07-13T01:56:00Z</dcterms:created>
  <dc:creator>HFUT</dc:creator>
  <cp:lastModifiedBy>苏生</cp:lastModifiedBy>
  <cp:lastPrinted>2022-07-14T09:08:00Z</cp:lastPrinted>
  <dcterms:modified xsi:type="dcterms:W3CDTF">2022-07-15T08:38:35Z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FD5C1464FCF64819A519EDEBB2960366</vt:lpwstr>
  </property>
</Properties>
</file>